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AD3E20" w:rsidRPr="00002225" w:rsidRDefault="00AD3E20" w:rsidP="00AD3E20">
      <w:pPr>
        <w:rPr>
          <w:rFonts w:ascii="Arial" w:hAnsi="Arial" w:cs="Arial"/>
          <w:b/>
          <w:color w:val="FF6600"/>
          <w:lang w:val="es-ES_tradnl"/>
        </w:rPr>
      </w:pPr>
    </w:p>
    <w:p w:rsidR="00CA26A2" w:rsidRPr="00002225" w:rsidRDefault="00CA26A2" w:rsidP="00CA26A2">
      <w:pPr>
        <w:jc w:val="both"/>
        <w:rPr>
          <w:rFonts w:ascii="Arial" w:hAnsi="Arial" w:cs="Arial"/>
        </w:rPr>
      </w:pPr>
    </w:p>
    <w:p w:rsidR="00623DD6" w:rsidRPr="00002225" w:rsidRDefault="00623DD6" w:rsidP="00623DD6">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623DD6" w:rsidRPr="00002225" w:rsidRDefault="00623DD6" w:rsidP="00623DD6">
      <w:pPr>
        <w:jc w:val="center"/>
        <w:rPr>
          <w:rFonts w:ascii="Arial" w:hAnsi="Arial" w:cs="Arial"/>
          <w:b/>
          <w:color w:val="FF6600"/>
          <w:lang w:val="es-ES_tradnl"/>
        </w:rPr>
      </w:pPr>
      <w:r w:rsidRPr="00002225">
        <w:rPr>
          <w:rFonts w:ascii="Arial" w:hAnsi="Arial" w:cs="Arial"/>
          <w:b/>
          <w:color w:val="FF6600"/>
          <w:lang w:val="es-ES_tradnl"/>
        </w:rPr>
        <w:t>Tema: El trabajo</w:t>
      </w:r>
    </w:p>
    <w:p w:rsidR="00623DD6" w:rsidRPr="00002225" w:rsidRDefault="00623DD6" w:rsidP="00623DD6">
      <w:pPr>
        <w:rPr>
          <w:rFonts w:ascii="Arial" w:hAnsi="Arial" w:cs="Arial"/>
          <w:lang w:val="es-ES_tradnl"/>
        </w:rPr>
      </w:pPr>
    </w:p>
    <w:p w:rsidR="00623DD6" w:rsidRPr="00002225" w:rsidRDefault="00623DD6" w:rsidP="00623DD6">
      <w:pPr>
        <w:rPr>
          <w:rFonts w:ascii="Arial" w:hAnsi="Arial" w:cs="Arial"/>
          <w:lang w:val="es-ES_tradnl"/>
        </w:rPr>
      </w:pPr>
    </w:p>
    <w:p w:rsidR="00623DD6" w:rsidRPr="00002225" w:rsidRDefault="00623DD6" w:rsidP="00623DD6">
      <w:pPr>
        <w:rPr>
          <w:rFonts w:ascii="Arial" w:hAnsi="Arial" w:cs="Arial"/>
          <w:b/>
          <w:lang w:val="es-ES_tradnl"/>
        </w:rPr>
      </w:pPr>
      <w:r w:rsidRPr="00002225">
        <w:rPr>
          <w:rFonts w:ascii="Arial" w:hAnsi="Arial" w:cs="Arial"/>
          <w:b/>
          <w:lang w:val="es-ES_tradnl"/>
        </w:rPr>
        <w:t>I. Plano Individual</w:t>
      </w:r>
    </w:p>
    <w:p w:rsidR="00623DD6" w:rsidRPr="00002225" w:rsidRDefault="00623DD6" w:rsidP="00623DD6">
      <w:pPr>
        <w:jc w:val="both"/>
        <w:rPr>
          <w:rFonts w:ascii="Arial" w:hAnsi="Arial" w:cs="Arial"/>
          <w:b/>
        </w:rPr>
      </w:pPr>
      <w:r w:rsidRPr="00002225">
        <w:rPr>
          <w:rFonts w:ascii="Arial" w:hAnsi="Arial" w:cs="Arial"/>
          <w:b/>
        </w:rPr>
        <w:t>Actividad para estudiantes. Mi experiencia en el trabajo…</w:t>
      </w:r>
    </w:p>
    <w:p w:rsidR="00623DD6" w:rsidRPr="00002225" w:rsidRDefault="00623DD6" w:rsidP="00623DD6">
      <w:pPr>
        <w:pStyle w:val="Textoindependiente"/>
        <w:rPr>
          <w:bCs/>
          <w:lang w:val="es-ES_tradnl"/>
        </w:rPr>
      </w:pPr>
    </w:p>
    <w:p w:rsidR="00623DD6" w:rsidRPr="00002225" w:rsidRDefault="00623DD6" w:rsidP="00623DD6">
      <w:pPr>
        <w:jc w:val="both"/>
        <w:rPr>
          <w:rFonts w:ascii="Arial" w:hAnsi="Arial" w:cs="Arial"/>
          <w:color w:val="000000"/>
        </w:rPr>
      </w:pPr>
      <w:r w:rsidRPr="00002225">
        <w:rPr>
          <w:rFonts w:ascii="Arial" w:hAnsi="Arial" w:cs="Arial"/>
          <w:b/>
          <w:bCs/>
        </w:rPr>
        <w:t xml:space="preserve">Propósito: </w:t>
      </w:r>
      <w:r w:rsidRPr="00002225">
        <w:rPr>
          <w:rFonts w:ascii="Arial" w:hAnsi="Arial" w:cs="Arial"/>
          <w:color w:val="000000"/>
        </w:rPr>
        <w:t>Que reconozcan las diferencias de género en el trabajo para las y los jóvenes y revisen las dificultades y obstáculos a los que se enfrentan.</w:t>
      </w:r>
    </w:p>
    <w:p w:rsidR="00623DD6" w:rsidRPr="00002225" w:rsidRDefault="00623DD6" w:rsidP="00623DD6">
      <w:pPr>
        <w:pStyle w:val="Textoindependiente"/>
        <w:rPr>
          <w:lang w:val="es-ES_tradnl"/>
        </w:rPr>
      </w:pPr>
    </w:p>
    <w:p w:rsidR="00623DD6" w:rsidRPr="00002225" w:rsidRDefault="00623DD6" w:rsidP="00623DD6">
      <w:pPr>
        <w:jc w:val="both"/>
        <w:rPr>
          <w:rFonts w:ascii="Arial" w:hAnsi="Arial" w:cs="Arial"/>
          <w:lang w:val="es-ES_tradnl"/>
        </w:rPr>
      </w:pPr>
      <w:r w:rsidRPr="00002225">
        <w:rPr>
          <w:rFonts w:ascii="Arial" w:hAnsi="Arial" w:cs="Arial"/>
          <w:b/>
          <w:lang w:val="es-ES_tradnl"/>
        </w:rPr>
        <w:t>Competencias a desarrollar:</w:t>
      </w:r>
      <w:r w:rsidRPr="00002225">
        <w:rPr>
          <w:rFonts w:ascii="Arial" w:hAnsi="Arial" w:cs="Arial"/>
          <w:lang w:val="es-ES_tradnl"/>
        </w:rPr>
        <w:t xml:space="preserve"> Conocimiento de sí mismo y de sí misma, autoestima y manejo de sentimientos y emociones.</w:t>
      </w:r>
    </w:p>
    <w:p w:rsidR="00623DD6" w:rsidRPr="00002225" w:rsidRDefault="00623DD6" w:rsidP="00623DD6">
      <w:pPr>
        <w:jc w:val="both"/>
        <w:rPr>
          <w:rFonts w:ascii="Arial" w:hAnsi="Arial" w:cs="Arial"/>
          <w:color w:val="0000FF"/>
          <w:lang w:val="es-ES_tradnl"/>
        </w:rPr>
      </w:pPr>
    </w:p>
    <w:p w:rsidR="00623DD6" w:rsidRPr="00002225" w:rsidRDefault="00623DD6" w:rsidP="00623DD6">
      <w:pPr>
        <w:jc w:val="both"/>
        <w:rPr>
          <w:rFonts w:ascii="Arial" w:hAnsi="Arial" w:cs="Arial"/>
          <w:b/>
          <w:lang w:val="es-ES_tradnl"/>
        </w:rPr>
      </w:pPr>
      <w:r w:rsidRPr="00002225">
        <w:rPr>
          <w:rFonts w:ascii="Arial" w:hAnsi="Arial" w:cs="Arial"/>
          <w:b/>
          <w:lang w:val="es-ES_tradnl"/>
        </w:rPr>
        <w:t>Duración</w:t>
      </w:r>
    </w:p>
    <w:p w:rsidR="00623DD6" w:rsidRPr="00002225" w:rsidRDefault="00623DD6" w:rsidP="00623DD6">
      <w:pPr>
        <w:jc w:val="both"/>
        <w:rPr>
          <w:rFonts w:ascii="Arial" w:hAnsi="Arial" w:cs="Arial"/>
          <w:lang w:val="es-ES_tradnl"/>
        </w:rPr>
      </w:pPr>
      <w:r w:rsidRPr="00002225">
        <w:rPr>
          <w:rFonts w:ascii="Arial" w:hAnsi="Arial" w:cs="Arial"/>
          <w:lang w:val="es-ES_tradnl"/>
        </w:rPr>
        <w:t>50 minutos</w:t>
      </w:r>
    </w:p>
    <w:p w:rsidR="00623DD6" w:rsidRPr="00002225" w:rsidRDefault="00623DD6" w:rsidP="00623DD6">
      <w:pPr>
        <w:jc w:val="both"/>
        <w:rPr>
          <w:rFonts w:ascii="Arial" w:hAnsi="Arial" w:cs="Arial"/>
          <w:color w:val="0000FF"/>
          <w:lang w:val="es-ES_tradnl"/>
        </w:rPr>
      </w:pPr>
    </w:p>
    <w:p w:rsidR="00623DD6" w:rsidRPr="00002225" w:rsidRDefault="00623DD6" w:rsidP="00623DD6">
      <w:pPr>
        <w:jc w:val="both"/>
        <w:rPr>
          <w:rFonts w:ascii="Arial" w:hAnsi="Arial" w:cs="Arial"/>
          <w:b/>
          <w:lang w:val="es-ES_tradnl"/>
        </w:rPr>
      </w:pPr>
      <w:r w:rsidRPr="00002225">
        <w:rPr>
          <w:rFonts w:ascii="Arial" w:hAnsi="Arial" w:cs="Arial"/>
          <w:b/>
          <w:lang w:val="es-ES_tradnl"/>
        </w:rPr>
        <w:t>Material</w:t>
      </w:r>
    </w:p>
    <w:p w:rsidR="00623DD6" w:rsidRPr="00002225" w:rsidRDefault="00623DD6" w:rsidP="00623DD6">
      <w:pPr>
        <w:jc w:val="both"/>
        <w:rPr>
          <w:rFonts w:ascii="Arial" w:hAnsi="Arial" w:cs="Arial"/>
          <w:lang w:val="es-ES_tradnl"/>
        </w:rPr>
      </w:pPr>
      <w:r w:rsidRPr="00002225">
        <w:rPr>
          <w:rFonts w:ascii="Arial" w:hAnsi="Arial" w:cs="Arial"/>
          <w:lang w:val="es-ES_tradnl"/>
        </w:rPr>
        <w:t>Tarjetas, hojas de rotafolio, plumones o lápices de colores y pegamento.</w:t>
      </w:r>
    </w:p>
    <w:p w:rsidR="00623DD6" w:rsidRPr="00002225" w:rsidRDefault="00623DD6" w:rsidP="00623DD6">
      <w:pPr>
        <w:jc w:val="both"/>
        <w:rPr>
          <w:rFonts w:ascii="Arial" w:hAnsi="Arial" w:cs="Arial"/>
          <w:color w:val="0000FF"/>
          <w:lang w:val="es-ES_tradnl"/>
        </w:rPr>
      </w:pPr>
    </w:p>
    <w:p w:rsidR="00623DD6" w:rsidRPr="00002225" w:rsidRDefault="00623DD6" w:rsidP="00623DD6">
      <w:pPr>
        <w:jc w:val="both"/>
        <w:rPr>
          <w:rFonts w:ascii="Arial" w:hAnsi="Arial" w:cs="Arial"/>
          <w:b/>
        </w:rPr>
      </w:pPr>
      <w:r w:rsidRPr="00002225">
        <w:rPr>
          <w:rFonts w:ascii="Arial" w:hAnsi="Arial" w:cs="Arial"/>
          <w:b/>
        </w:rPr>
        <w:t>Preparación de la actividad</w:t>
      </w:r>
    </w:p>
    <w:p w:rsidR="00623DD6" w:rsidRPr="00002225" w:rsidRDefault="00623DD6" w:rsidP="00623DD6">
      <w:pPr>
        <w:rPr>
          <w:rFonts w:ascii="Arial" w:hAnsi="Arial" w:cs="Arial"/>
          <w:lang w:val="es-ES_tradnl"/>
        </w:rPr>
      </w:pPr>
      <w:r w:rsidRPr="00002225">
        <w:rPr>
          <w:rFonts w:ascii="Arial" w:hAnsi="Arial" w:cs="Arial"/>
        </w:rPr>
        <w:t>Para realizar esta actividad, la o el docente deberá leer la ficha técnica correspondiente y adaptar dicha actividad de acuerdo con los contextos (rural, urbanos, etc.) en la que se realice.</w:t>
      </w:r>
      <w:r w:rsidRPr="00002225">
        <w:rPr>
          <w:rFonts w:ascii="Arial" w:hAnsi="Arial" w:cs="Arial"/>
          <w:lang w:val="es-ES_tradnl"/>
        </w:rPr>
        <w:t xml:space="preserve"> </w:t>
      </w:r>
    </w:p>
    <w:p w:rsidR="00623DD6" w:rsidRPr="00002225" w:rsidRDefault="00623DD6" w:rsidP="00623DD6">
      <w:pPr>
        <w:rPr>
          <w:rFonts w:ascii="Arial" w:hAnsi="Arial" w:cs="Arial"/>
          <w:lang w:val="es-ES_tradnl"/>
        </w:rPr>
      </w:pPr>
      <w:r w:rsidRPr="00002225">
        <w:rPr>
          <w:rFonts w:ascii="Arial" w:hAnsi="Arial" w:cs="Arial"/>
          <w:lang w:val="es-ES_tradnl"/>
        </w:rPr>
        <w:t>Se sugiere que las actividades del tema “El trabajo” se realicen con alumnas y alumnos del último año.</w:t>
      </w:r>
    </w:p>
    <w:p w:rsidR="00623DD6" w:rsidRPr="00002225" w:rsidRDefault="00623DD6" w:rsidP="00623DD6">
      <w:pPr>
        <w:rPr>
          <w:rFonts w:ascii="Arial" w:hAnsi="Arial" w:cs="Arial"/>
        </w:rPr>
      </w:pPr>
    </w:p>
    <w:p w:rsidR="00623DD6" w:rsidRPr="00002225" w:rsidRDefault="00623DD6" w:rsidP="00623DD6">
      <w:pPr>
        <w:rPr>
          <w:rFonts w:ascii="Arial" w:hAnsi="Arial" w:cs="Arial"/>
        </w:rPr>
      </w:pPr>
    </w:p>
    <w:p w:rsidR="00623DD6" w:rsidRPr="00002225" w:rsidRDefault="00623DD6" w:rsidP="00623DD6">
      <w:pPr>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center"/>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center"/>
        <w:rPr>
          <w:rFonts w:ascii="Arial" w:hAnsi="Arial" w:cs="Arial"/>
          <w:b/>
        </w:rPr>
      </w:pPr>
      <w:r w:rsidRPr="00002225">
        <w:rPr>
          <w:rFonts w:ascii="Arial" w:hAnsi="Arial" w:cs="Arial"/>
          <w:b/>
        </w:rPr>
        <w:t>FICHA TÉCNICA</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Si bien desde tiempos remotos las y los jóvenes se han incorporado al trabajo independientemente de su grado de escolaridad, en las últimas décadas ha aumentado el número de jóvenes que trabajan fundamentalmente por razones económicas, por lo que ha surgido el interés y la preocupación por conocer y revisar las condiciones en las que las y los jóvenes se incorporación a los mercados laborales, dado el aumento del desempleo a nivel mundial y en especial en nuestro país.</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Veamos algunas de las particularidades de lo que implica hoy en día que las y los jóvenes trabajen.</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 xml:space="preserve">“Diversos autores sostienen que la categoría social “juventud” comenzó a emerger durante el siglo XVIII como una moratoria en la etapa de transición entre la niñez </w:t>
      </w:r>
      <w:r w:rsidRPr="00002225">
        <w:rPr>
          <w:rFonts w:ascii="Arial" w:hAnsi="Arial" w:cs="Arial"/>
        </w:rPr>
        <w:lastRenderedPageBreak/>
        <w:t>y la adultez, destinada a la adquisición de los saberes necesarios para la vida laboral. Durante el siglo XX, esta categoría de “juventud”, que había comenzado por los sectores acomodados, se extendió hacia los sectores de trabajadores y paulatinamente abarcó, aunque de formas distintas, a todos los jóvenes. La expansión de los sistemas educativos, el desarrollo de las fuerzas productivas, las transformaciones en la organización y productividad del trabajo, las posibilidades de control sobre la natalidad y el aumento en la expectativa de vida contribuyeron a crear condiciones para que el tránsito entre la infancia y la vida adulta se prolongara, dando lugar a la emergencia de diversos campos de expresión de lo juvenil, en la cultura, la política, el consumo, las cuestiones de género, las comunicaciones, etc.”</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Durante las últimas décadas del siglo pasado y la primera de este siglo se ampliaron y diversificaron las investigaciones en torno a las y los jóvenes, y en particular se abordaron las dificultades que enfrentan al vincularse al mundo del trabajo.</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Si bien durante la época del llamado desarrollo estabilizador, la incorporación de los jóvenes, más que las jóvenes, se daba como una transición relativamente fácil, siendo parte de su preparación para asumir el papel de proveedores, ya fuera que estudiaran y trabajaran al mismo tiempo, o bien que sólo trabajaran. Sin embargo, hoy en día la dificultad se incrementa, en tanto que la precariedad de los trabajos formales y no formales para las y los jóvenes distan mucho de brindarles oportunidades para aprender y ampliar sus experiencias; pues los bajos salarios, la falta de condiciones de seguridad e higiene, y las escasas oportunidades de ascenso y promoción, son en muchas ocasiones las condiciones bajo las cuales trabajan, por lo que en términos generales la explotación, la marginalidad y la segregación mantienen a las y los jóvenes excluidos de los beneficios del desarrollo económico, social y cultural en nuestro país.</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 xml:space="preserve">Los datos sobre el trabajo de las y los jóvenes en México confirman lo anterior. Según </w:t>
      </w:r>
      <w:smartTag w:uri="urn:schemas-microsoft-com:office:smarttags" w:element="PersonName">
        <w:smartTagPr>
          <w:attr w:name="ProductID" w:val="la Encuesta Nacional"/>
        </w:smartTagPr>
        <w:r w:rsidRPr="00002225">
          <w:rPr>
            <w:rFonts w:ascii="Arial" w:hAnsi="Arial" w:cs="Arial"/>
          </w:rPr>
          <w:t>la Encuesta Nacional</w:t>
        </w:r>
      </w:smartTag>
      <w:r w:rsidRPr="00002225">
        <w:rPr>
          <w:rFonts w:ascii="Arial" w:hAnsi="Arial" w:cs="Arial"/>
        </w:rPr>
        <w:t xml:space="preserve"> de </w:t>
      </w:r>
      <w:smartTag w:uri="urn:schemas-microsoft-com:office:smarttags" w:element="PersonName">
        <w:smartTagPr>
          <w:attr w:name="ProductID" w:val="la Juventud"/>
        </w:smartTagPr>
        <w:r w:rsidRPr="00002225">
          <w:rPr>
            <w:rFonts w:ascii="Arial" w:hAnsi="Arial" w:cs="Arial"/>
          </w:rPr>
          <w:t>la Juventud</w:t>
        </w:r>
      </w:smartTag>
      <w:r w:rsidRPr="00002225">
        <w:rPr>
          <w:rFonts w:ascii="Arial" w:hAnsi="Arial" w:cs="Arial"/>
        </w:rPr>
        <w:t xml:space="preserve">, 2005 el 47.8% de los hombres y el 22.2% de las mujeres de </w:t>
      </w:r>
      <w:smartTag w:uri="urn:schemas-microsoft-com:office:smarttags" w:element="metricconverter">
        <w:smartTagPr>
          <w:attr w:name="ProductID" w:val="12 a"/>
        </w:smartTagPr>
        <w:r w:rsidRPr="00002225">
          <w:rPr>
            <w:rFonts w:ascii="Arial" w:hAnsi="Arial" w:cs="Arial"/>
          </w:rPr>
          <w:t>12 a</w:t>
        </w:r>
      </w:smartTag>
      <w:r w:rsidRPr="00002225">
        <w:rPr>
          <w:rFonts w:ascii="Arial" w:hAnsi="Arial" w:cs="Arial"/>
        </w:rPr>
        <w:t xml:space="preserve"> 29 años de edad trabajaban</w:t>
      </w:r>
      <w:r w:rsidRPr="00002225">
        <w:rPr>
          <w:rFonts w:ascii="Arial" w:hAnsi="Arial" w:cs="Arial"/>
          <w:lang w:val="es-ES_tradnl"/>
        </w:rPr>
        <w:t>.</w:t>
      </w:r>
      <w:r w:rsidRPr="00002225">
        <w:rPr>
          <w:rFonts w:ascii="Arial" w:hAnsi="Arial" w:cs="Arial"/>
          <w:color w:val="FF0000"/>
        </w:rPr>
        <w:t xml:space="preserve"> </w:t>
      </w:r>
      <w:r w:rsidRPr="00002225">
        <w:rPr>
          <w:rFonts w:ascii="Arial" w:hAnsi="Arial" w:cs="Arial"/>
        </w:rPr>
        <w:t xml:space="preserve">Más de la mitad de las y los jóvenes comienzan a trabajar por decisión de su familia, y más de 80% de ellas y ellos contribuyen al ingreso familiar. Los empleos más frecuentes en los que se insertan los jóvenes son el comercio (28.9%), los servicios profesionales y técnicos (15.5%) y las actividades agropecuarias (12.2%), mientras que las mujeres jóvenes trabajaban en el comercio (41%), los servicios profesionales y técnicos (8.8%) y las actividades agropecuarias (7.7%), considerando además que sólo la tercera parte de ellas y ellos contaban con un contrato de trabajo, por lo que el resto no tenía derecho a seguridad social de ninguna clase. </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Por otro lado, si tomamos en cuenta lo que más les gustaba de su trabajo, las diferencias entre los hombres y las mujeres son notables debido a que para los primeros, les interesaba más el salario o el sueldo y la experiencia que adquieren (20.9% y 22.5% respectivamente), mientras que para las mujeres fue la experiencia y el tiempo para estar con su familia (15.6% y 20.9% respectivamente).</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lastRenderedPageBreak/>
        <w:t xml:space="preserve">No obstante las dificultades que enfrentan las y los jóvenes al incorporarse al trabajo, es necesario enfatizar que aún el problema es mayor para aquellos y aquellas jóvenes que no estudian ni trabajan, como lo demuestra la misma Encuesta citada que del total de la población de </w:t>
      </w:r>
      <w:smartTag w:uri="urn:schemas-microsoft-com:office:smarttags" w:element="metricconverter">
        <w:smartTagPr>
          <w:attr w:name="ProductID" w:val="12 a"/>
        </w:smartTagPr>
        <w:r w:rsidRPr="00002225">
          <w:rPr>
            <w:rFonts w:ascii="Arial" w:hAnsi="Arial" w:cs="Arial"/>
          </w:rPr>
          <w:t>12 a</w:t>
        </w:r>
      </w:smartTag>
      <w:r w:rsidRPr="00002225">
        <w:rPr>
          <w:rFonts w:ascii="Arial" w:hAnsi="Arial" w:cs="Arial"/>
        </w:rPr>
        <w:t xml:space="preserve"> 29 años, el 22% no estudia ni trabaja (8.5% de hombres y el 34.9% de mujeres), por lo que las condiciones de discriminación hacia las jóvenes, en estos tiempos de crisis se acentúan, en particular para las y los jóvenes entre los 15 y los 18 años de edad, pues un poco más de 50% dejaron la escuela (46.7% de hombres y 60.9% de mujeres). </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El trabajo para las mujeres jóvenes es doblemente difícil por su edad y por el sexo. Aún cuando existe una tendencia, particularmente en las zonas urbanas, de búsqueda de mayor independencia económica por parte de las jóvenes, así como el interés de romper con la dinámica de la ocupación en los trabajos “femeninos”, es un hecho que se repite que al no contar con una educación sexual que les permita tener una mirada de largo alcance sobre su vida, las jóvenes se embarazan a una corta edad y en muchas ocasiones tienen al mismo tiempo que cuidar a sus hijas o hijos que salir a trabajar para solventar sus necesidades ya sea que cuenta con pareja o sin ella. Por lo que desde la perspectiva de género, podemos enfatizar que además de que el trabajo precario se ha feminizado, hoy las jóvenes son las más afectadas por la crisis económica y financiera mundial, pues son las primeras en ser despedidas, recibir peores salarios o bien, no tener las oportunidades de ascenso y promoción.</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Aunada a las consideraciones sobre el empleo de las mujeres jóvenes, debemos focalizar de igual manera a la población más pobre, indígena, del medio rural o las y los discapacitados o que presentan barreras para la participación, pues las condiciones de heterogeneidad son muy amplias y las soluciones a la problemática del empleo deben partir de las necesidades de las propias jóvenes y de los propios jóvenes de acuerdo con su contexto.</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Los estudios relacionados con el tema del trabajo de las y los jóvenes muestran en general muy pocas alternativas de solución, sin embargo es necesario privilegiar algunas medidas tanto de política pública, como de recomendaciones a las y los jóvenes, pues de no atender esta grave problemática ahora en unos cuantos años el problema será mayor y las consecuencias serán aún más graves</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 Por ello entre las medidas, podríamos retomar lo que en las investigaciones se señala que es:</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 generar las condiciones necesarias para que las jóvenes y los jóvenes no deserten de las escuelas y concluyan cuando menos su educación media superior. Este implica generar desde las instancias gubernamentales la creación de programas y proyectos que favorezcan la permanencia de las y los jóvenes dentro de los planteles escolares, pues es bien sabidos que además de los problemas económicos por los que las y los jóvenes no concluyen sus estudios, otro factor es la poca motivación que tienen para ir a la escuelas, dado que manifiestan que no les gusta, se aburren o no le encuentran sentido a los contenidos que aprenden en las escuelas.</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 Otra alternativa es generar</w:t>
      </w:r>
      <w:r w:rsidRPr="00002225">
        <w:rPr>
          <w:rFonts w:ascii="Arial" w:hAnsi="Arial" w:cs="Arial"/>
          <w:lang w:val="es-ES_tradnl"/>
        </w:rPr>
        <w:t xml:space="preserve"> opciones</w:t>
      </w:r>
      <w:r w:rsidRPr="00002225">
        <w:rPr>
          <w:rFonts w:ascii="Arial" w:hAnsi="Arial" w:cs="Arial"/>
          <w:color w:val="FF0000"/>
        </w:rPr>
        <w:t xml:space="preserve"> </w:t>
      </w:r>
      <w:r w:rsidRPr="00002225">
        <w:rPr>
          <w:rFonts w:ascii="Arial" w:hAnsi="Arial" w:cs="Arial"/>
        </w:rPr>
        <w:t>de capacitación en y para el trabajo que posibiliten que las y los jóvenes adquieran las habilidades y destrezas para un oficio o trabajo técnico de tal suerte que puedan adquirir la experiencia necesaria para incorporarse en mejores condiciones a los mercados de trabajo.</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lastRenderedPageBreak/>
        <w:t>- Una alternativa más, aún cuando sea un poco más complicada que las anteriores, pero no  excluyente es que las y los jóvenes logren generar sus propias fuentes de trabajo</w:t>
      </w:r>
      <w:r w:rsidRPr="00002225">
        <w:rPr>
          <w:rStyle w:val="Refdenotaalpie"/>
          <w:rFonts w:ascii="Arial" w:hAnsi="Arial" w:cs="Arial"/>
        </w:rPr>
        <w:footnoteReference w:id="2"/>
      </w:r>
      <w:r w:rsidRPr="00002225">
        <w:rPr>
          <w:rFonts w:ascii="Arial" w:hAnsi="Arial" w:cs="Arial"/>
        </w:rPr>
        <w:t>, ya sea en micro o pequeñas empresas a través de generar fondos o créditos que les permita, sin endeudarse, lograr ir creciendo y consolidar sus proyectos productivos.</w:t>
      </w: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p>
    <w:p w:rsidR="00623DD6" w:rsidRPr="00002225" w:rsidRDefault="00623DD6" w:rsidP="00623DD6">
      <w:pPr>
        <w:pBdr>
          <w:top w:val="single" w:sz="4" w:space="1" w:color="auto"/>
          <w:left w:val="single" w:sz="4" w:space="4" w:color="auto"/>
          <w:bottom w:val="single" w:sz="4" w:space="1" w:color="auto"/>
          <w:right w:val="single" w:sz="4" w:space="4" w:color="auto"/>
        </w:pBdr>
        <w:jc w:val="both"/>
        <w:rPr>
          <w:rFonts w:ascii="Arial" w:hAnsi="Arial" w:cs="Arial"/>
        </w:rPr>
      </w:pPr>
      <w:r w:rsidRPr="00002225">
        <w:rPr>
          <w:rFonts w:ascii="Arial" w:hAnsi="Arial" w:cs="Arial"/>
        </w:rPr>
        <w:t>No obstante las alternativas antes señaladas, es necesario precisar que las mejores opciones para la incorporación de las y los jóvenes en el trabajo son y serán aquellas que surgen de la experiencia, necesidades e inquietudes de la propia población juvenil, por lo que es necesario y urgente abrir la discusión, el dialogo y reforzar con recursos y voluntad política sus demandas hoy antes de que sea tarde el día de mañana.</w:t>
      </w:r>
    </w:p>
    <w:p w:rsidR="00623DD6" w:rsidRPr="00002225" w:rsidRDefault="00623DD6" w:rsidP="00623DD6">
      <w:pPr>
        <w:jc w:val="both"/>
        <w:rPr>
          <w:rFonts w:ascii="Arial" w:hAnsi="Arial" w:cs="Arial"/>
        </w:rPr>
      </w:pPr>
    </w:p>
    <w:p w:rsidR="00623DD6" w:rsidRPr="00002225" w:rsidRDefault="00623DD6" w:rsidP="00623DD6">
      <w:pPr>
        <w:jc w:val="both"/>
        <w:rPr>
          <w:rFonts w:ascii="Arial" w:hAnsi="Arial" w:cs="Arial"/>
        </w:rPr>
      </w:pPr>
    </w:p>
    <w:p w:rsidR="00CA26A2" w:rsidRPr="00623DD6" w:rsidRDefault="00CA26A2" w:rsidP="00CA26A2">
      <w:pPr>
        <w:jc w:val="center"/>
        <w:rPr>
          <w:rFonts w:ascii="Arial" w:hAnsi="Arial" w:cs="Arial"/>
          <w:b/>
          <w:color w:val="FF6600"/>
        </w:rPr>
      </w:pPr>
    </w:p>
    <w:sectPr w:rsidR="00CA26A2" w:rsidRPr="00623DD6"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891" w:rsidRDefault="00C87891" w:rsidP="00E357AB">
      <w:r>
        <w:separator/>
      </w:r>
    </w:p>
  </w:endnote>
  <w:endnote w:type="continuationSeparator" w:id="1">
    <w:p w:rsidR="00C87891" w:rsidRDefault="00C87891"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891" w:rsidRDefault="00C87891" w:rsidP="00E357AB">
      <w:r>
        <w:separator/>
      </w:r>
    </w:p>
  </w:footnote>
  <w:footnote w:type="continuationSeparator" w:id="1">
    <w:p w:rsidR="00C87891" w:rsidRDefault="00C87891" w:rsidP="00E357AB">
      <w:r>
        <w:continuationSeparator/>
      </w:r>
    </w:p>
  </w:footnote>
  <w:footnote w:id="2">
    <w:p w:rsidR="00623DD6" w:rsidRPr="00530E83" w:rsidRDefault="00623DD6" w:rsidP="00623DD6">
      <w:pPr>
        <w:pStyle w:val="Textonotapie"/>
        <w:rPr>
          <w:lang w:val="es-MX"/>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3">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4">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5">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6">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7">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8">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9">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0">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1">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4">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16">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17">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20">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14"/>
  </w:num>
  <w:num w:numId="4">
    <w:abstractNumId w:val="10"/>
  </w:num>
  <w:num w:numId="5">
    <w:abstractNumId w:val="9"/>
  </w:num>
  <w:num w:numId="6">
    <w:abstractNumId w:val="2"/>
  </w:num>
  <w:num w:numId="7">
    <w:abstractNumId w:val="6"/>
  </w:num>
  <w:num w:numId="8">
    <w:abstractNumId w:val="4"/>
  </w:num>
  <w:num w:numId="9">
    <w:abstractNumId w:val="13"/>
  </w:num>
  <w:num w:numId="10">
    <w:abstractNumId w:val="19"/>
  </w:num>
  <w:num w:numId="11">
    <w:abstractNumId w:val="8"/>
  </w:num>
  <w:num w:numId="12">
    <w:abstractNumId w:val="15"/>
  </w:num>
  <w:num w:numId="13">
    <w:abstractNumId w:val="5"/>
  </w:num>
  <w:num w:numId="14">
    <w:abstractNumId w:val="20"/>
  </w:num>
  <w:num w:numId="15">
    <w:abstractNumId w:val="7"/>
  </w:num>
  <w:num w:numId="16">
    <w:abstractNumId w:val="0"/>
  </w:num>
  <w:num w:numId="17">
    <w:abstractNumId w:val="3"/>
  </w:num>
  <w:num w:numId="18">
    <w:abstractNumId w:val="17"/>
  </w:num>
  <w:num w:numId="19">
    <w:abstractNumId w:val="11"/>
  </w:num>
  <w:num w:numId="20">
    <w:abstractNumId w:val="16"/>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4763D6"/>
    <w:rsid w:val="00623DD6"/>
    <w:rsid w:val="006A1953"/>
    <w:rsid w:val="007F09AD"/>
    <w:rsid w:val="009816DA"/>
    <w:rsid w:val="009E4267"/>
    <w:rsid w:val="00AD3E20"/>
    <w:rsid w:val="00B1337A"/>
    <w:rsid w:val="00BA69CD"/>
    <w:rsid w:val="00C86400"/>
    <w:rsid w:val="00C87891"/>
    <w:rsid w:val="00CA26A2"/>
    <w:rsid w:val="00D113B8"/>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1410</Words>
  <Characters>7757</Characters>
  <Application>Microsoft Office Word</Application>
  <DocSecurity>0</DocSecurity>
  <Lines>64</Lines>
  <Paragraphs>18</Paragraphs>
  <ScaleCrop>false</ScaleCrop>
  <Company/>
  <LinksUpToDate>false</LinksUpToDate>
  <CharactersWithSpaces>9149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3</cp:revision>
  <dcterms:created xsi:type="dcterms:W3CDTF">2010-06-21T07:26:00Z</dcterms:created>
  <dcterms:modified xsi:type="dcterms:W3CDTF">2010-06-21T07:26:00Z</dcterms:modified>
</cp:coreProperties>
</file>